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C1A" w:rsidRPr="009A0B79" w:rsidRDefault="0063015D" w:rsidP="0063015D">
      <w:pPr>
        <w:jc w:val="center"/>
        <w:rPr>
          <w:b/>
        </w:rPr>
      </w:pPr>
      <w:r w:rsidRPr="009A0B79">
        <w:rPr>
          <w:b/>
        </w:rPr>
        <w:t>PLYMOUTH COUNTY SHERIFF’S DEPARTMENT</w:t>
      </w:r>
    </w:p>
    <w:p w:rsidR="0063015D" w:rsidRPr="009A0B79" w:rsidRDefault="0063015D" w:rsidP="0063015D">
      <w:pPr>
        <w:jc w:val="center"/>
        <w:rPr>
          <w:b/>
        </w:rPr>
      </w:pPr>
      <w:r w:rsidRPr="009A0B79">
        <w:rPr>
          <w:b/>
        </w:rPr>
        <w:t>SUMMARY OF BENEFITS</w:t>
      </w:r>
    </w:p>
    <w:p w:rsidR="0063015D" w:rsidRDefault="0063015D" w:rsidP="0063015D">
      <w:pPr>
        <w:pStyle w:val="NoSpacing"/>
      </w:pPr>
      <w:r w:rsidRPr="008D5877">
        <w:rPr>
          <w:b/>
        </w:rPr>
        <w:t>Personal Days:</w:t>
      </w:r>
      <w:r>
        <w:tab/>
        <w:t>Three paid days per fiscal year, depending on date of hire.</w:t>
      </w:r>
    </w:p>
    <w:p w:rsidR="0063015D" w:rsidRDefault="0063015D" w:rsidP="0063015D">
      <w:pPr>
        <w:pStyle w:val="NoSpacing"/>
      </w:pPr>
      <w:r>
        <w:tab/>
      </w:r>
      <w:r>
        <w:tab/>
        <w:t>Date of Hire:</w:t>
      </w:r>
      <w:r>
        <w:tab/>
      </w:r>
      <w:r>
        <w:tab/>
      </w:r>
      <w:r>
        <w:tab/>
        <w:t>Personal Leave Days:</w:t>
      </w:r>
    </w:p>
    <w:p w:rsidR="0063015D" w:rsidRDefault="0063015D" w:rsidP="0063015D">
      <w:pPr>
        <w:pStyle w:val="NoSpacing"/>
      </w:pPr>
      <w:r>
        <w:tab/>
      </w:r>
      <w:r>
        <w:tab/>
        <w:t>July 1 – Sept. 30</w:t>
      </w:r>
      <w:r>
        <w:tab/>
      </w:r>
      <w:r>
        <w:tab/>
      </w:r>
      <w:r>
        <w:tab/>
        <w:t>3 paid leave days</w:t>
      </w:r>
    </w:p>
    <w:p w:rsidR="0063015D" w:rsidRDefault="0063015D" w:rsidP="0063015D">
      <w:pPr>
        <w:pStyle w:val="NoSpacing"/>
      </w:pPr>
      <w:r>
        <w:tab/>
      </w:r>
      <w:r>
        <w:tab/>
        <w:t>Oct. 1 – Dec. 31</w:t>
      </w:r>
      <w:r>
        <w:tab/>
      </w:r>
      <w:r>
        <w:tab/>
      </w:r>
      <w:r>
        <w:tab/>
        <w:t>2 paid leave days</w:t>
      </w:r>
    </w:p>
    <w:p w:rsidR="0063015D" w:rsidRDefault="0063015D" w:rsidP="0063015D">
      <w:pPr>
        <w:pStyle w:val="NoSpacing"/>
      </w:pPr>
      <w:r>
        <w:tab/>
      </w:r>
      <w:r>
        <w:tab/>
        <w:t>Jan. 1 – March 31</w:t>
      </w:r>
      <w:r>
        <w:tab/>
      </w:r>
      <w:r>
        <w:tab/>
        <w:t>1 paid leave days</w:t>
      </w:r>
    </w:p>
    <w:p w:rsidR="0063015D" w:rsidRDefault="0063015D" w:rsidP="0063015D">
      <w:pPr>
        <w:pStyle w:val="NoSpacing"/>
      </w:pPr>
      <w:r>
        <w:tab/>
      </w:r>
      <w:r>
        <w:tab/>
        <w:t>April 1 – June 30</w:t>
      </w:r>
      <w:r>
        <w:tab/>
      </w:r>
      <w:r>
        <w:tab/>
        <w:t>0 paid leave days</w:t>
      </w:r>
    </w:p>
    <w:p w:rsidR="0063015D" w:rsidRDefault="0063015D" w:rsidP="0063015D">
      <w:pPr>
        <w:pStyle w:val="NoSpacing"/>
      </w:pPr>
    </w:p>
    <w:p w:rsidR="0063015D" w:rsidRDefault="0063015D" w:rsidP="0063015D">
      <w:pPr>
        <w:pStyle w:val="NoSpacing"/>
      </w:pPr>
      <w:r w:rsidRPr="008D5877">
        <w:rPr>
          <w:b/>
        </w:rPr>
        <w:t>Vacation:</w:t>
      </w:r>
      <w:r>
        <w:tab/>
        <w:t>1 to 4 ½ years of service:</w:t>
      </w:r>
      <w:r>
        <w:tab/>
        <w:t>2 weeks</w:t>
      </w:r>
    </w:p>
    <w:p w:rsidR="0063015D" w:rsidRDefault="0063015D" w:rsidP="0063015D">
      <w:pPr>
        <w:pStyle w:val="NoSpacing"/>
      </w:pPr>
      <w:r>
        <w:tab/>
      </w:r>
      <w:r>
        <w:tab/>
        <w:t xml:space="preserve">4 ½ to 9 ½ years of service: </w:t>
      </w:r>
      <w:r>
        <w:tab/>
        <w:t>3 weeks</w:t>
      </w:r>
    </w:p>
    <w:p w:rsidR="0063015D" w:rsidRDefault="0063015D" w:rsidP="0063015D">
      <w:pPr>
        <w:pStyle w:val="NoSpacing"/>
      </w:pPr>
      <w:r>
        <w:tab/>
      </w:r>
      <w:r>
        <w:tab/>
        <w:t xml:space="preserve">9 ½ to 19 ½ years of service: </w:t>
      </w:r>
      <w:r>
        <w:tab/>
        <w:t>4 weeks</w:t>
      </w:r>
    </w:p>
    <w:p w:rsidR="0063015D" w:rsidRDefault="0063015D" w:rsidP="0063015D">
      <w:pPr>
        <w:pStyle w:val="NoSpacing"/>
      </w:pPr>
      <w:r>
        <w:tab/>
      </w:r>
      <w:r>
        <w:tab/>
        <w:t>Over 19 ½ years of service:</w:t>
      </w:r>
      <w:r>
        <w:tab/>
        <w:t>5 weeks</w:t>
      </w:r>
    </w:p>
    <w:p w:rsidR="0063015D" w:rsidRDefault="0063015D" w:rsidP="0063015D">
      <w:pPr>
        <w:pStyle w:val="NoSpacing"/>
      </w:pPr>
      <w:r>
        <w:tab/>
      </w:r>
      <w:r>
        <w:tab/>
        <w:t>The vacation year begins on July 1</w:t>
      </w:r>
      <w:r w:rsidRPr="0063015D">
        <w:rPr>
          <w:vertAlign w:val="superscript"/>
        </w:rPr>
        <w:t>st</w:t>
      </w:r>
      <w:r>
        <w:t xml:space="preserve">, and service shall be credited on the following </w:t>
      </w:r>
    </w:p>
    <w:p w:rsidR="0063015D" w:rsidRDefault="0063015D" w:rsidP="0063015D">
      <w:pPr>
        <w:pStyle w:val="NoSpacing"/>
      </w:pPr>
      <w:r>
        <w:tab/>
      </w:r>
      <w:r>
        <w:tab/>
        <w:t>June 30</w:t>
      </w:r>
      <w:r w:rsidRPr="0063015D">
        <w:rPr>
          <w:vertAlign w:val="superscript"/>
        </w:rPr>
        <w:t>th</w:t>
      </w:r>
      <w:r>
        <w:t xml:space="preserve">. </w:t>
      </w:r>
      <w:r w:rsidR="003335A9">
        <w:t xml:space="preserve"> Prorated for part time employees.</w:t>
      </w:r>
      <w:bookmarkStart w:id="0" w:name="_GoBack"/>
      <w:bookmarkEnd w:id="0"/>
    </w:p>
    <w:p w:rsidR="0063015D" w:rsidRDefault="0063015D" w:rsidP="0063015D">
      <w:pPr>
        <w:pStyle w:val="NoSpacing"/>
      </w:pPr>
    </w:p>
    <w:p w:rsidR="0063015D" w:rsidRDefault="0063015D" w:rsidP="0063015D">
      <w:pPr>
        <w:pStyle w:val="NoSpacing"/>
      </w:pPr>
      <w:r w:rsidRPr="008D5877">
        <w:rPr>
          <w:b/>
        </w:rPr>
        <w:t>Sick Leave:</w:t>
      </w:r>
      <w:r>
        <w:tab/>
        <w:t>1 ¼ days (10 hours) for each complete month of service for full time employees.</w:t>
      </w:r>
    </w:p>
    <w:p w:rsidR="0063015D" w:rsidRDefault="0063015D" w:rsidP="0063015D">
      <w:pPr>
        <w:pStyle w:val="NoSpacing"/>
      </w:pPr>
      <w:r>
        <w:tab/>
      </w:r>
      <w:r>
        <w:tab/>
        <w:t>Part time employees earn 1 hour of sick time for every 30 hours they work.</w:t>
      </w:r>
    </w:p>
    <w:p w:rsidR="0063015D" w:rsidRDefault="0063015D" w:rsidP="0063015D">
      <w:pPr>
        <w:pStyle w:val="NoSpacing"/>
      </w:pPr>
    </w:p>
    <w:p w:rsidR="0063015D" w:rsidRDefault="0063015D" w:rsidP="0063015D">
      <w:pPr>
        <w:pStyle w:val="NoSpacing"/>
      </w:pPr>
      <w:r w:rsidRPr="008D5877">
        <w:rPr>
          <w:b/>
        </w:rPr>
        <w:t>Holidays:</w:t>
      </w:r>
      <w:r>
        <w:tab/>
        <w:t>Eleven (11) paid holidays per year.  Prorated for part time employees.</w:t>
      </w:r>
    </w:p>
    <w:p w:rsidR="0063015D" w:rsidRDefault="0063015D" w:rsidP="0063015D">
      <w:pPr>
        <w:pStyle w:val="NoSpacing"/>
      </w:pPr>
    </w:p>
    <w:p w:rsidR="0063015D" w:rsidRPr="008D5877" w:rsidRDefault="0063015D" w:rsidP="0063015D">
      <w:pPr>
        <w:pStyle w:val="NoSpacing"/>
        <w:rPr>
          <w:b/>
        </w:rPr>
      </w:pPr>
      <w:r w:rsidRPr="008D5877">
        <w:rPr>
          <w:b/>
        </w:rPr>
        <w:t xml:space="preserve">Bereavement </w:t>
      </w:r>
    </w:p>
    <w:p w:rsidR="0063015D" w:rsidRDefault="0063015D" w:rsidP="0063015D">
      <w:pPr>
        <w:pStyle w:val="NoSpacing"/>
      </w:pPr>
      <w:r w:rsidRPr="008D5877">
        <w:rPr>
          <w:b/>
        </w:rPr>
        <w:t>Leave:</w:t>
      </w:r>
      <w:r w:rsidRPr="008D5877">
        <w:rPr>
          <w:b/>
        </w:rPr>
        <w:tab/>
      </w:r>
      <w:r>
        <w:tab/>
        <w:t>Paid bereavement leave may be granted to employees for a period not to exceed five</w:t>
      </w:r>
    </w:p>
    <w:p w:rsidR="0063015D" w:rsidRDefault="0063015D" w:rsidP="0063015D">
      <w:pPr>
        <w:pStyle w:val="NoSpacing"/>
      </w:pPr>
      <w:r>
        <w:tab/>
      </w:r>
      <w:r>
        <w:tab/>
        <w:t xml:space="preserve">(5) consecutive calendar days for immediate family. </w:t>
      </w:r>
    </w:p>
    <w:p w:rsidR="0063015D" w:rsidRDefault="0063015D" w:rsidP="0063015D">
      <w:pPr>
        <w:pStyle w:val="NoSpacing"/>
      </w:pPr>
    </w:p>
    <w:p w:rsidR="0063015D" w:rsidRPr="008D5877" w:rsidRDefault="0063015D" w:rsidP="0063015D">
      <w:pPr>
        <w:pStyle w:val="NoSpacing"/>
        <w:rPr>
          <w:b/>
        </w:rPr>
      </w:pPr>
      <w:r w:rsidRPr="008D5877">
        <w:rPr>
          <w:b/>
        </w:rPr>
        <w:t>Civic Duty</w:t>
      </w:r>
    </w:p>
    <w:p w:rsidR="0063015D" w:rsidRDefault="0063015D" w:rsidP="0063015D">
      <w:pPr>
        <w:pStyle w:val="NoSpacing"/>
      </w:pPr>
      <w:r w:rsidRPr="008D5877">
        <w:rPr>
          <w:b/>
        </w:rPr>
        <w:t>Leave:</w:t>
      </w:r>
      <w:r w:rsidRPr="008D5877">
        <w:rPr>
          <w:b/>
        </w:rPr>
        <w:tab/>
      </w:r>
      <w:r>
        <w:tab/>
        <w:t xml:space="preserve">Employees summoned for Jury Duty shall be granted a leave of absence with </w:t>
      </w:r>
      <w:r w:rsidR="00762221">
        <w:t>pay from</w:t>
      </w:r>
    </w:p>
    <w:p w:rsidR="0063015D" w:rsidRDefault="002E06E2" w:rsidP="0063015D">
      <w:pPr>
        <w:pStyle w:val="NoSpacing"/>
      </w:pPr>
      <w:r>
        <w:tab/>
      </w:r>
      <w:r>
        <w:tab/>
      </w:r>
      <w:proofErr w:type="gramStart"/>
      <w:r>
        <w:t>t</w:t>
      </w:r>
      <w:r w:rsidR="0063015D">
        <w:t>ime</w:t>
      </w:r>
      <w:proofErr w:type="gramEnd"/>
      <w:r w:rsidR="0063015D">
        <w:t xml:space="preserve"> lost from their regular work schedule while on said Jury Duty upon presentation </w:t>
      </w:r>
    </w:p>
    <w:p w:rsidR="0063015D" w:rsidRDefault="002E06E2" w:rsidP="0063015D">
      <w:pPr>
        <w:pStyle w:val="NoSpacing"/>
      </w:pPr>
      <w:r>
        <w:tab/>
      </w:r>
      <w:r>
        <w:tab/>
      </w:r>
      <w:proofErr w:type="gramStart"/>
      <w:r>
        <w:t>o</w:t>
      </w:r>
      <w:r w:rsidR="0063015D">
        <w:t>f</w:t>
      </w:r>
      <w:proofErr w:type="gramEnd"/>
      <w:r w:rsidR="0063015D">
        <w:t xml:space="preserve"> the appropriate summons to the Department Head by employees. </w:t>
      </w:r>
    </w:p>
    <w:p w:rsidR="0063015D" w:rsidRDefault="0063015D" w:rsidP="0063015D">
      <w:pPr>
        <w:pStyle w:val="NoSpacing"/>
      </w:pPr>
    </w:p>
    <w:p w:rsidR="0063015D" w:rsidRDefault="007A615A" w:rsidP="0063015D">
      <w:pPr>
        <w:pStyle w:val="NoSpacing"/>
      </w:pPr>
      <w:r w:rsidRPr="008D5877">
        <w:rPr>
          <w:b/>
        </w:rPr>
        <w:t>Military Leave:</w:t>
      </w:r>
      <w:r>
        <w:t xml:space="preserve"> </w:t>
      </w:r>
      <w:r>
        <w:tab/>
        <w:t>Up to seventeen (17) days off per year with pay to attend annual military training with</w:t>
      </w:r>
    </w:p>
    <w:p w:rsidR="007A615A" w:rsidRDefault="002E06E2" w:rsidP="0063015D">
      <w:pPr>
        <w:pStyle w:val="NoSpacing"/>
      </w:pPr>
      <w:r>
        <w:tab/>
      </w:r>
      <w:r>
        <w:tab/>
      </w:r>
      <w:proofErr w:type="gramStart"/>
      <w:r>
        <w:t>t</w:t>
      </w:r>
      <w:r w:rsidR="007A615A">
        <w:t>he</w:t>
      </w:r>
      <w:proofErr w:type="gramEnd"/>
      <w:r w:rsidR="007A615A">
        <w:t xml:space="preserve"> National Guard or Reserve Unit.</w:t>
      </w:r>
    </w:p>
    <w:p w:rsidR="007A615A" w:rsidRDefault="007A615A" w:rsidP="0063015D">
      <w:pPr>
        <w:pStyle w:val="NoSpacing"/>
      </w:pPr>
    </w:p>
    <w:p w:rsidR="007A615A" w:rsidRPr="008D5877" w:rsidRDefault="007A615A" w:rsidP="0063015D">
      <w:pPr>
        <w:pStyle w:val="NoSpacing"/>
        <w:rPr>
          <w:b/>
        </w:rPr>
      </w:pPr>
      <w:r w:rsidRPr="008D5877">
        <w:rPr>
          <w:b/>
        </w:rPr>
        <w:t xml:space="preserve">Workers’ </w:t>
      </w:r>
    </w:p>
    <w:p w:rsidR="007A615A" w:rsidRDefault="007A615A" w:rsidP="0063015D">
      <w:pPr>
        <w:pStyle w:val="NoSpacing"/>
      </w:pPr>
      <w:r w:rsidRPr="008D5877">
        <w:rPr>
          <w:b/>
        </w:rPr>
        <w:t>Compensation:</w:t>
      </w:r>
      <w:r>
        <w:tab/>
        <w:t>Disability payment and medical expenses are provided to those employees that are</w:t>
      </w:r>
    </w:p>
    <w:p w:rsidR="007A615A" w:rsidRDefault="002E06E2" w:rsidP="0063015D">
      <w:pPr>
        <w:pStyle w:val="NoSpacing"/>
      </w:pPr>
      <w:r>
        <w:tab/>
      </w:r>
      <w:r>
        <w:tab/>
      </w:r>
      <w:proofErr w:type="gramStart"/>
      <w:r>
        <w:t>i</w:t>
      </w:r>
      <w:r w:rsidR="007A615A">
        <w:t>njured</w:t>
      </w:r>
      <w:proofErr w:type="gramEnd"/>
      <w:r w:rsidR="007A615A">
        <w:t xml:space="preserve"> on the job.</w:t>
      </w:r>
    </w:p>
    <w:p w:rsidR="007A615A" w:rsidRDefault="007A615A" w:rsidP="0063015D">
      <w:pPr>
        <w:pStyle w:val="NoSpacing"/>
      </w:pPr>
    </w:p>
    <w:p w:rsidR="007A615A" w:rsidRPr="008D5877" w:rsidRDefault="007A615A" w:rsidP="0063015D">
      <w:pPr>
        <w:pStyle w:val="NoSpacing"/>
        <w:rPr>
          <w:b/>
        </w:rPr>
      </w:pPr>
      <w:r w:rsidRPr="008D5877">
        <w:rPr>
          <w:b/>
        </w:rPr>
        <w:t>Insurance</w:t>
      </w:r>
    </w:p>
    <w:p w:rsidR="007A615A" w:rsidRDefault="007A615A" w:rsidP="0063015D">
      <w:pPr>
        <w:pStyle w:val="NoSpacing"/>
      </w:pPr>
      <w:r w:rsidRPr="008D5877">
        <w:rPr>
          <w:b/>
        </w:rPr>
        <w:t>Coverage:</w:t>
      </w:r>
      <w:r>
        <w:tab/>
        <w:t>Comprehensive insurance benefits are available with coverage provided by the Group</w:t>
      </w:r>
    </w:p>
    <w:p w:rsidR="007A615A" w:rsidRDefault="007A615A" w:rsidP="0063015D">
      <w:pPr>
        <w:pStyle w:val="NoSpacing"/>
      </w:pPr>
      <w:r>
        <w:tab/>
      </w:r>
      <w:r>
        <w:tab/>
        <w:t xml:space="preserve">Insurance Commission (GIC).  Dental/Vision Insurance benefits (available for State </w:t>
      </w:r>
      <w:r>
        <w:tab/>
      </w:r>
    </w:p>
    <w:p w:rsidR="007A615A" w:rsidRDefault="007A615A" w:rsidP="0063015D">
      <w:pPr>
        <w:pStyle w:val="NoSpacing"/>
      </w:pPr>
      <w:r>
        <w:tab/>
      </w:r>
      <w:r>
        <w:tab/>
        <w:t>Employees who are not covered by collective bargaining); Life Insurance and Long Term</w:t>
      </w:r>
    </w:p>
    <w:p w:rsidR="007A615A" w:rsidRDefault="007A615A" w:rsidP="0063015D">
      <w:pPr>
        <w:pStyle w:val="NoSpacing"/>
      </w:pPr>
      <w:r>
        <w:tab/>
      </w:r>
      <w:r>
        <w:tab/>
      </w:r>
      <w:r w:rsidR="00762221">
        <w:t>Disability is</w:t>
      </w:r>
      <w:r>
        <w:t xml:space="preserve"> also available through the GIC.</w:t>
      </w:r>
    </w:p>
    <w:p w:rsidR="00F15B28" w:rsidRDefault="00F15B28" w:rsidP="0063015D">
      <w:pPr>
        <w:pStyle w:val="NoSpacing"/>
      </w:pPr>
    </w:p>
    <w:p w:rsidR="00F15B28" w:rsidRDefault="00F15B28" w:rsidP="0063015D">
      <w:pPr>
        <w:pStyle w:val="NoSpacing"/>
      </w:pPr>
    </w:p>
    <w:p w:rsidR="00F15B28" w:rsidRDefault="00F15B28" w:rsidP="0063015D">
      <w:pPr>
        <w:pStyle w:val="NoSpacing"/>
      </w:pPr>
    </w:p>
    <w:p w:rsidR="00F15B28" w:rsidRDefault="00F15B28" w:rsidP="0063015D">
      <w:pPr>
        <w:pStyle w:val="NoSpacing"/>
      </w:pPr>
    </w:p>
    <w:p w:rsidR="00F15B28" w:rsidRPr="00762221" w:rsidRDefault="00F15B28" w:rsidP="00F15B28">
      <w:pPr>
        <w:pStyle w:val="NoSpacing"/>
        <w:jc w:val="center"/>
        <w:rPr>
          <w:b/>
        </w:rPr>
      </w:pPr>
      <w:r w:rsidRPr="00762221">
        <w:rPr>
          <w:b/>
        </w:rPr>
        <w:lastRenderedPageBreak/>
        <w:t>Health Insurance Guidelines</w:t>
      </w:r>
    </w:p>
    <w:p w:rsidR="00F15B28" w:rsidRDefault="00F15B28" w:rsidP="00F15B28">
      <w:pPr>
        <w:pStyle w:val="NoSpacing"/>
      </w:pPr>
    </w:p>
    <w:p w:rsidR="00F15B28" w:rsidRDefault="00F15B28" w:rsidP="00F15B28">
      <w:pPr>
        <w:pStyle w:val="NoSpacing"/>
      </w:pPr>
      <w:r>
        <w:t xml:space="preserve">New employees must enroll in the plans within ten (10) calendar days of hire. The Group Insurance Commission (GIC) benefits begin on the first day of the month following sixty (60) days or two (2) full calendar months of employment, whichever comes first. </w:t>
      </w:r>
    </w:p>
    <w:p w:rsidR="00F15B28" w:rsidRDefault="00F15B28" w:rsidP="00F15B28">
      <w:pPr>
        <w:pStyle w:val="NoSpacing"/>
      </w:pPr>
      <w:r>
        <w:t>Yearly “Open Enrollment” for any employee who would like to change their health insurance plan or enroll in the GIC may do so during Annual Enrollment April-May.  All changes are effective on July 1</w:t>
      </w:r>
      <w:r w:rsidRPr="00762221">
        <w:rPr>
          <w:vertAlign w:val="superscript"/>
        </w:rPr>
        <w:t>st</w:t>
      </w:r>
      <w:r>
        <w:t xml:space="preserve">. </w:t>
      </w:r>
    </w:p>
    <w:p w:rsidR="00F15B28" w:rsidRDefault="00F15B28" w:rsidP="00F15B28">
      <w:pPr>
        <w:pStyle w:val="NoSpacing"/>
      </w:pPr>
      <w:r>
        <w:t>Coverage ends on the last day of the following month from your termination date.  Coverage for children terminates as follows for adult children:</w:t>
      </w:r>
    </w:p>
    <w:p w:rsidR="00F15B28" w:rsidRDefault="00F15B28" w:rsidP="00F15B28">
      <w:pPr>
        <w:pStyle w:val="NoSpacing"/>
      </w:pPr>
      <w:r>
        <w:t>Health: 26 years</w:t>
      </w:r>
    </w:p>
    <w:p w:rsidR="00F15B28" w:rsidRDefault="00F15B28" w:rsidP="00F15B28">
      <w:pPr>
        <w:pStyle w:val="NoSpacing"/>
      </w:pPr>
      <w:r>
        <w:t>Dental: 26 years</w:t>
      </w:r>
    </w:p>
    <w:p w:rsidR="002E06E2" w:rsidRDefault="002E06E2" w:rsidP="0063015D">
      <w:pPr>
        <w:pStyle w:val="NoSpacing"/>
      </w:pPr>
    </w:p>
    <w:p w:rsidR="002E06E2" w:rsidRDefault="002E06E2" w:rsidP="0063015D">
      <w:pPr>
        <w:pStyle w:val="NoSpacing"/>
      </w:pPr>
    </w:p>
    <w:p w:rsidR="002E06E2" w:rsidRDefault="002E06E2" w:rsidP="0063015D">
      <w:pPr>
        <w:pStyle w:val="NoSpacing"/>
      </w:pPr>
    </w:p>
    <w:p w:rsidR="007A615A" w:rsidRDefault="007A615A" w:rsidP="0063015D">
      <w:pPr>
        <w:pStyle w:val="NoSpacing"/>
      </w:pPr>
    </w:p>
    <w:p w:rsidR="007A615A" w:rsidRPr="008D5877" w:rsidRDefault="007A615A" w:rsidP="0063015D">
      <w:pPr>
        <w:pStyle w:val="NoSpacing"/>
        <w:rPr>
          <w:b/>
        </w:rPr>
      </w:pPr>
      <w:r w:rsidRPr="008D5877">
        <w:rPr>
          <w:b/>
        </w:rPr>
        <w:t>Flex Spending</w:t>
      </w:r>
    </w:p>
    <w:p w:rsidR="007A615A" w:rsidRDefault="007A615A" w:rsidP="0063015D">
      <w:pPr>
        <w:pStyle w:val="NoSpacing"/>
      </w:pPr>
      <w:r w:rsidRPr="008D5877">
        <w:rPr>
          <w:b/>
        </w:rPr>
        <w:t>Accounts:</w:t>
      </w:r>
      <w:r>
        <w:tab/>
        <w:t>Health Care Spending Accounts and Dependent Care Assistance Programs are available</w:t>
      </w:r>
    </w:p>
    <w:p w:rsidR="007A615A" w:rsidRDefault="007A615A" w:rsidP="0063015D">
      <w:pPr>
        <w:pStyle w:val="NoSpacing"/>
      </w:pPr>
      <w:r>
        <w:tab/>
      </w:r>
      <w:r>
        <w:tab/>
        <w:t xml:space="preserve">through the GIC.  The GIC’s Flexible Spending Accounts (FSAs) and Dependent Care </w:t>
      </w:r>
    </w:p>
    <w:p w:rsidR="007A615A" w:rsidRDefault="007A615A" w:rsidP="0063015D">
      <w:pPr>
        <w:pStyle w:val="NoSpacing"/>
      </w:pPr>
      <w:r>
        <w:tab/>
      </w:r>
      <w:r>
        <w:tab/>
        <w:t xml:space="preserve">(DCAP) are administered by ASIFlex. </w:t>
      </w:r>
      <w:r w:rsidR="00F15B28">
        <w:t xml:space="preserve"> Enrollment in </w:t>
      </w:r>
      <w:proofErr w:type="spellStart"/>
      <w:r w:rsidR="00F15B28">
        <w:t>ASIFlex</w:t>
      </w:r>
      <w:proofErr w:type="spellEnd"/>
      <w:r w:rsidR="00F15B28">
        <w:t xml:space="preserve"> follows the same guidelines </w:t>
      </w:r>
    </w:p>
    <w:p w:rsidR="00F15B28" w:rsidRDefault="00F15B28" w:rsidP="0063015D">
      <w:pPr>
        <w:pStyle w:val="NoSpacing"/>
      </w:pPr>
      <w:r>
        <w:tab/>
      </w:r>
      <w:r>
        <w:tab/>
      </w:r>
      <w:proofErr w:type="gramStart"/>
      <w:r>
        <w:t>as</w:t>
      </w:r>
      <w:proofErr w:type="gramEnd"/>
      <w:r>
        <w:t xml:space="preserve"> Health insurance. </w:t>
      </w:r>
    </w:p>
    <w:p w:rsidR="007A615A" w:rsidRDefault="007A615A" w:rsidP="0063015D">
      <w:pPr>
        <w:pStyle w:val="NoSpacing"/>
      </w:pPr>
    </w:p>
    <w:p w:rsidR="007A615A" w:rsidRDefault="007A615A" w:rsidP="0063015D">
      <w:pPr>
        <w:pStyle w:val="NoSpacing"/>
      </w:pPr>
      <w:r>
        <w:tab/>
      </w:r>
      <w:r>
        <w:tab/>
      </w:r>
      <w:r>
        <w:tab/>
      </w:r>
      <w:r>
        <w:tab/>
      </w:r>
      <w:r>
        <w:tab/>
      </w:r>
    </w:p>
    <w:p w:rsidR="007A615A" w:rsidRPr="008D5877" w:rsidRDefault="007A615A" w:rsidP="0063015D">
      <w:pPr>
        <w:pStyle w:val="NoSpacing"/>
        <w:rPr>
          <w:b/>
        </w:rPr>
      </w:pPr>
      <w:r w:rsidRPr="008D5877">
        <w:rPr>
          <w:b/>
        </w:rPr>
        <w:t>Tuition</w:t>
      </w:r>
    </w:p>
    <w:p w:rsidR="007A615A" w:rsidRDefault="007A615A" w:rsidP="0063015D">
      <w:pPr>
        <w:pStyle w:val="NoSpacing"/>
      </w:pPr>
      <w:r w:rsidRPr="008D5877">
        <w:rPr>
          <w:b/>
        </w:rPr>
        <w:t>Remission:</w:t>
      </w:r>
      <w:r>
        <w:tab/>
        <w:t xml:space="preserve">Tuition Remission is available to full time state employees and their spouses. An </w:t>
      </w:r>
    </w:p>
    <w:p w:rsidR="007A615A" w:rsidRDefault="002E06E2" w:rsidP="0063015D">
      <w:pPr>
        <w:pStyle w:val="NoSpacing"/>
      </w:pPr>
      <w:r>
        <w:tab/>
      </w:r>
      <w:r>
        <w:tab/>
      </w:r>
      <w:proofErr w:type="gramStart"/>
      <w:r>
        <w:t>e</w:t>
      </w:r>
      <w:r w:rsidR="007A615A">
        <w:t>mployee</w:t>
      </w:r>
      <w:proofErr w:type="gramEnd"/>
      <w:r w:rsidR="007A615A">
        <w:t xml:space="preserve"> must have six (6) months of full time or equivalent part time service with</w:t>
      </w:r>
    </w:p>
    <w:p w:rsidR="007A615A" w:rsidRDefault="007A615A" w:rsidP="0063015D">
      <w:pPr>
        <w:pStyle w:val="NoSpacing"/>
      </w:pPr>
      <w:r>
        <w:tab/>
      </w:r>
      <w:r>
        <w:tab/>
      </w:r>
      <w:proofErr w:type="gramStart"/>
      <w:r w:rsidR="009A0B79">
        <w:t>The</w:t>
      </w:r>
      <w:r>
        <w:t xml:space="preserve"> Com</w:t>
      </w:r>
      <w:r w:rsidR="00F15B28">
        <w:t>monwealth to summit Tuition Remission.</w:t>
      </w:r>
      <w:proofErr w:type="gramEnd"/>
      <w:r w:rsidR="00F15B28">
        <w:t xml:space="preserve"> </w:t>
      </w:r>
      <w:r>
        <w:t xml:space="preserve">  </w:t>
      </w:r>
    </w:p>
    <w:p w:rsidR="00762221" w:rsidRDefault="00762221" w:rsidP="0063015D">
      <w:pPr>
        <w:pStyle w:val="NoSpacing"/>
      </w:pPr>
    </w:p>
    <w:p w:rsidR="00762221" w:rsidRPr="008D5877" w:rsidRDefault="00762221" w:rsidP="0063015D">
      <w:pPr>
        <w:pStyle w:val="NoSpacing"/>
        <w:rPr>
          <w:b/>
        </w:rPr>
      </w:pPr>
      <w:r w:rsidRPr="008D5877">
        <w:rPr>
          <w:b/>
        </w:rPr>
        <w:t>Family Medical</w:t>
      </w:r>
    </w:p>
    <w:p w:rsidR="00F15B28" w:rsidRDefault="00762221" w:rsidP="0063015D">
      <w:pPr>
        <w:pStyle w:val="NoSpacing"/>
        <w:rPr>
          <w:b/>
        </w:rPr>
      </w:pPr>
      <w:r w:rsidRPr="008D5877">
        <w:rPr>
          <w:b/>
        </w:rPr>
        <w:t xml:space="preserve">Leave Act </w:t>
      </w:r>
    </w:p>
    <w:p w:rsidR="00762221" w:rsidRDefault="00762221" w:rsidP="0063015D">
      <w:pPr>
        <w:pStyle w:val="NoSpacing"/>
      </w:pPr>
      <w:r w:rsidRPr="008D5877">
        <w:rPr>
          <w:b/>
        </w:rPr>
        <w:t>(FMLA):</w:t>
      </w:r>
      <w:r w:rsidR="002E06E2">
        <w:t xml:space="preserve"> </w:t>
      </w:r>
      <w:r w:rsidR="00F15B28">
        <w:t xml:space="preserve">            </w:t>
      </w:r>
      <w:r w:rsidR="002E06E2">
        <w:t xml:space="preserve"> FMLA provides</w:t>
      </w:r>
      <w:r>
        <w:t xml:space="preserve"> for twelve (12) weeks of unpaid leave from work for personal or </w:t>
      </w:r>
    </w:p>
    <w:p w:rsidR="00762221" w:rsidRDefault="00762221" w:rsidP="0063015D">
      <w:pPr>
        <w:pStyle w:val="NoSpacing"/>
      </w:pPr>
      <w:r>
        <w:tab/>
      </w:r>
      <w:r>
        <w:tab/>
        <w:t>immediate family medical issues. You are el</w:t>
      </w:r>
      <w:r w:rsidR="008D5877">
        <w:t>i</w:t>
      </w:r>
      <w:r>
        <w:t>gible for FMLA leave if you:</w:t>
      </w:r>
    </w:p>
    <w:p w:rsidR="00762221" w:rsidRDefault="00762221" w:rsidP="0063015D">
      <w:pPr>
        <w:pStyle w:val="NoSpacing"/>
      </w:pPr>
      <w:r>
        <w:tab/>
      </w:r>
      <w:r>
        <w:tab/>
        <w:t>Have worked for employer for at least twelve (12) months.</w:t>
      </w:r>
    </w:p>
    <w:p w:rsidR="00762221" w:rsidRDefault="00762221" w:rsidP="0063015D">
      <w:pPr>
        <w:pStyle w:val="NoSpacing"/>
      </w:pPr>
      <w:r>
        <w:tab/>
      </w:r>
      <w:r>
        <w:tab/>
        <w:t>Have worked at least 1250 hours during the 12 months immediately preceding the start</w:t>
      </w:r>
    </w:p>
    <w:p w:rsidR="00762221" w:rsidRDefault="00762221" w:rsidP="0063015D">
      <w:pPr>
        <w:pStyle w:val="NoSpacing"/>
      </w:pPr>
      <w:r>
        <w:tab/>
      </w:r>
      <w:r>
        <w:tab/>
      </w:r>
      <w:proofErr w:type="gramStart"/>
      <w:r>
        <w:t>of</w:t>
      </w:r>
      <w:proofErr w:type="gramEnd"/>
      <w:r>
        <w:t xml:space="preserve"> your leave.</w:t>
      </w:r>
    </w:p>
    <w:p w:rsidR="009A0B79" w:rsidRDefault="009A0B79" w:rsidP="0063015D">
      <w:pPr>
        <w:pStyle w:val="NoSpacing"/>
      </w:pPr>
    </w:p>
    <w:p w:rsidR="009A0B79" w:rsidRDefault="009A0B79" w:rsidP="0063015D">
      <w:pPr>
        <w:pStyle w:val="NoSpacing"/>
      </w:pPr>
      <w:r w:rsidRPr="009A0B79">
        <w:rPr>
          <w:b/>
        </w:rPr>
        <w:t>Step Increases:</w:t>
      </w:r>
      <w:r>
        <w:tab/>
        <w:t xml:space="preserve">Step increases occur yearly from time of hire or promotion (12 months), on the first day </w:t>
      </w:r>
      <w:r>
        <w:tab/>
      </w:r>
    </w:p>
    <w:p w:rsidR="009A0B79" w:rsidRDefault="009A0B79" w:rsidP="0063015D">
      <w:pPr>
        <w:pStyle w:val="NoSpacing"/>
      </w:pPr>
      <w:r>
        <w:tab/>
      </w:r>
      <w:r>
        <w:tab/>
      </w:r>
      <w:proofErr w:type="gramStart"/>
      <w:r>
        <w:t>of</w:t>
      </w:r>
      <w:proofErr w:type="gramEnd"/>
      <w:r>
        <w:t xml:space="preserve"> the following month.  For each </w:t>
      </w:r>
      <w:r w:rsidR="002E06E2">
        <w:t>pay grade there are</w:t>
      </w:r>
      <w:r>
        <w:t xml:space="preserve"> 7- 10 steps, depending on </w:t>
      </w:r>
    </w:p>
    <w:p w:rsidR="009A0B79" w:rsidRDefault="009A0B79" w:rsidP="0063015D">
      <w:pPr>
        <w:pStyle w:val="NoSpacing"/>
      </w:pPr>
      <w:r>
        <w:tab/>
      </w:r>
      <w:r>
        <w:tab/>
      </w:r>
      <w:proofErr w:type="gramStart"/>
      <w:r>
        <w:t>the</w:t>
      </w:r>
      <w:proofErr w:type="gramEnd"/>
      <w:r>
        <w:t xml:space="preserve"> grade. Pay rates are listed annually, daily and hourly. </w:t>
      </w:r>
    </w:p>
    <w:p w:rsidR="00762221" w:rsidRDefault="00762221" w:rsidP="0063015D">
      <w:pPr>
        <w:pStyle w:val="NoSpacing"/>
      </w:pPr>
    </w:p>
    <w:p w:rsidR="008D5877" w:rsidRPr="008D5877" w:rsidRDefault="008D5877" w:rsidP="008D5877">
      <w:pPr>
        <w:pStyle w:val="NoSpacing"/>
        <w:jc w:val="center"/>
        <w:rPr>
          <w:b/>
        </w:rPr>
      </w:pPr>
    </w:p>
    <w:p w:rsidR="008D5877" w:rsidRPr="008D5877" w:rsidRDefault="008D5877" w:rsidP="008D5877">
      <w:pPr>
        <w:pStyle w:val="NoSpacing"/>
        <w:jc w:val="center"/>
        <w:rPr>
          <w:b/>
        </w:rPr>
      </w:pPr>
      <w:r w:rsidRPr="008D5877">
        <w:rPr>
          <w:b/>
        </w:rPr>
        <w:t>Short-Term Disability Insurance, Accident Indemnity Plans,</w:t>
      </w:r>
    </w:p>
    <w:p w:rsidR="008D5877" w:rsidRDefault="00026685" w:rsidP="008D5877">
      <w:pPr>
        <w:pStyle w:val="NoSpacing"/>
        <w:jc w:val="center"/>
        <w:rPr>
          <w:b/>
        </w:rPr>
      </w:pPr>
      <w:r>
        <w:rPr>
          <w:b/>
        </w:rPr>
        <w:t>Personal Cancer Indemnity Plans</w:t>
      </w:r>
    </w:p>
    <w:p w:rsidR="00026685" w:rsidRDefault="00026685" w:rsidP="008D5877">
      <w:pPr>
        <w:pStyle w:val="NoSpacing"/>
        <w:jc w:val="center"/>
        <w:rPr>
          <w:b/>
        </w:rPr>
      </w:pPr>
    </w:p>
    <w:p w:rsidR="00026685" w:rsidRDefault="00026685" w:rsidP="00026685">
      <w:pPr>
        <w:pStyle w:val="NoSpacing"/>
      </w:pPr>
      <w:r>
        <w:t>These plans are offered through the following companies:</w:t>
      </w:r>
    </w:p>
    <w:p w:rsidR="00026685" w:rsidRDefault="00026685" w:rsidP="00026685">
      <w:pPr>
        <w:pStyle w:val="NoSpacing"/>
      </w:pPr>
    </w:p>
    <w:p w:rsidR="00026685" w:rsidRPr="00B5680A" w:rsidRDefault="00026685" w:rsidP="00026685">
      <w:pPr>
        <w:pStyle w:val="NoSpacing"/>
        <w:rPr>
          <w:b/>
          <w:u w:val="single"/>
        </w:rPr>
      </w:pPr>
      <w:r w:rsidRPr="00B5680A">
        <w:rPr>
          <w:b/>
          <w:u w:val="single"/>
        </w:rPr>
        <w:t>AFLAC</w:t>
      </w:r>
    </w:p>
    <w:p w:rsidR="00026685" w:rsidRDefault="00026685" w:rsidP="00026685">
      <w:pPr>
        <w:pStyle w:val="NoSpacing"/>
      </w:pPr>
      <w:r>
        <w:t>Contact Person:</w:t>
      </w:r>
    </w:p>
    <w:p w:rsidR="00026685" w:rsidRDefault="00026685" w:rsidP="00026685">
      <w:pPr>
        <w:pStyle w:val="NoSpacing"/>
      </w:pPr>
      <w:r>
        <w:t>Andrea Knox, Agent</w:t>
      </w:r>
    </w:p>
    <w:p w:rsidR="00026685" w:rsidRDefault="00026685" w:rsidP="00026685">
      <w:pPr>
        <w:pStyle w:val="NoSpacing"/>
      </w:pPr>
      <w:r>
        <w:lastRenderedPageBreak/>
        <w:t>12 North Street</w:t>
      </w:r>
    </w:p>
    <w:p w:rsidR="00026685" w:rsidRDefault="00026685" w:rsidP="00026685">
      <w:pPr>
        <w:pStyle w:val="NoSpacing"/>
      </w:pPr>
      <w:r>
        <w:t>Fairhaven, MA  02719</w:t>
      </w:r>
    </w:p>
    <w:p w:rsidR="00026685" w:rsidRDefault="00026685" w:rsidP="00026685">
      <w:pPr>
        <w:pStyle w:val="NoSpacing"/>
      </w:pPr>
      <w:r>
        <w:t>Direct line: 508-817-6751</w:t>
      </w:r>
    </w:p>
    <w:p w:rsidR="00B5680A" w:rsidRDefault="00B5680A" w:rsidP="00026685">
      <w:pPr>
        <w:pStyle w:val="NoSpacing"/>
      </w:pPr>
      <w:r>
        <w:t xml:space="preserve">Customer service: </w:t>
      </w:r>
    </w:p>
    <w:p w:rsidR="00B5680A" w:rsidRDefault="00B5680A" w:rsidP="00026685">
      <w:pPr>
        <w:pStyle w:val="NoSpacing"/>
      </w:pPr>
      <w:r>
        <w:t>Fax:</w:t>
      </w:r>
    </w:p>
    <w:p w:rsidR="00026685" w:rsidRDefault="003335A9" w:rsidP="00026685">
      <w:pPr>
        <w:pStyle w:val="NoSpacing"/>
      </w:pPr>
      <w:hyperlink r:id="rId5" w:history="1">
        <w:r w:rsidR="00B5680A" w:rsidRPr="00550028">
          <w:rPr>
            <w:rStyle w:val="Hyperlink"/>
          </w:rPr>
          <w:t>andrea_knox@us.aflac.com</w:t>
        </w:r>
      </w:hyperlink>
    </w:p>
    <w:p w:rsidR="00B5680A" w:rsidRDefault="00B5680A" w:rsidP="00026685">
      <w:pPr>
        <w:pStyle w:val="NoSpacing"/>
      </w:pPr>
    </w:p>
    <w:p w:rsidR="00B5680A" w:rsidRPr="00B5680A" w:rsidRDefault="00B5680A" w:rsidP="00026685">
      <w:pPr>
        <w:pStyle w:val="NoSpacing"/>
        <w:rPr>
          <w:b/>
          <w:u w:val="single"/>
        </w:rPr>
      </w:pPr>
      <w:r w:rsidRPr="00B5680A">
        <w:rPr>
          <w:b/>
          <w:u w:val="single"/>
        </w:rPr>
        <w:t>COLONIAL LIFE</w:t>
      </w:r>
    </w:p>
    <w:p w:rsidR="00B5680A" w:rsidRDefault="00B5680A" w:rsidP="00026685">
      <w:pPr>
        <w:pStyle w:val="NoSpacing"/>
      </w:pPr>
      <w:r>
        <w:t>Contact Person:</w:t>
      </w:r>
    </w:p>
    <w:p w:rsidR="00B5680A" w:rsidRDefault="00B5680A" w:rsidP="00026685">
      <w:pPr>
        <w:pStyle w:val="NoSpacing"/>
      </w:pPr>
      <w:r>
        <w:t>Scott J. Curtis, Benefits Counselor</w:t>
      </w:r>
    </w:p>
    <w:p w:rsidR="00B5680A" w:rsidRDefault="00B5680A" w:rsidP="00026685">
      <w:pPr>
        <w:pStyle w:val="NoSpacing"/>
      </w:pPr>
      <w:r>
        <w:t>134 Warren Avenue</w:t>
      </w:r>
    </w:p>
    <w:p w:rsidR="00B5680A" w:rsidRDefault="00B5680A" w:rsidP="00026685">
      <w:pPr>
        <w:pStyle w:val="NoSpacing"/>
      </w:pPr>
      <w:r>
        <w:t>Harvard, MA 01451-1614</w:t>
      </w:r>
    </w:p>
    <w:p w:rsidR="00B5680A" w:rsidRDefault="00B5680A" w:rsidP="00026685">
      <w:pPr>
        <w:pStyle w:val="NoSpacing"/>
      </w:pPr>
      <w:r>
        <w:t>Direct line: 978-729-3563</w:t>
      </w:r>
    </w:p>
    <w:p w:rsidR="00B5680A" w:rsidRDefault="00B5680A" w:rsidP="00026685">
      <w:pPr>
        <w:pStyle w:val="NoSpacing"/>
      </w:pPr>
      <w:r>
        <w:t>Customer service: 800-325-4368</w:t>
      </w:r>
    </w:p>
    <w:p w:rsidR="00B5680A" w:rsidRDefault="00B5680A" w:rsidP="00026685">
      <w:pPr>
        <w:pStyle w:val="NoSpacing"/>
      </w:pPr>
      <w:r>
        <w:t>Fax: 978-456-3573</w:t>
      </w:r>
    </w:p>
    <w:p w:rsidR="00B5680A" w:rsidRDefault="003335A9" w:rsidP="00026685">
      <w:pPr>
        <w:pStyle w:val="NoSpacing"/>
        <w:rPr>
          <w:u w:val="single"/>
        </w:rPr>
      </w:pPr>
      <w:hyperlink r:id="rId6" w:history="1">
        <w:r w:rsidR="005E0BB0" w:rsidRPr="003B3E0A">
          <w:rPr>
            <w:rStyle w:val="Hyperlink"/>
          </w:rPr>
          <w:t>scott.curtis@coloniallife.com</w:t>
        </w:r>
      </w:hyperlink>
    </w:p>
    <w:p w:rsidR="002E0D7A" w:rsidRDefault="002E0D7A" w:rsidP="00026685">
      <w:pPr>
        <w:pStyle w:val="NoSpacing"/>
        <w:rPr>
          <w:u w:val="single"/>
        </w:rPr>
      </w:pPr>
    </w:p>
    <w:p w:rsidR="002E0D7A" w:rsidRDefault="002E0D7A" w:rsidP="00026685">
      <w:pPr>
        <w:pStyle w:val="NoSpacing"/>
        <w:rPr>
          <w:u w:val="single"/>
        </w:rPr>
      </w:pPr>
    </w:p>
    <w:p w:rsidR="005E0BB0" w:rsidRDefault="005E0BB0" w:rsidP="00026685">
      <w:pPr>
        <w:pStyle w:val="NoSpacing"/>
        <w:rPr>
          <w:u w:val="single"/>
        </w:rPr>
      </w:pPr>
    </w:p>
    <w:p w:rsidR="005E0BB0" w:rsidRDefault="005E0BB0" w:rsidP="005E0BB0">
      <w:pPr>
        <w:pStyle w:val="NoSpacing"/>
        <w:jc w:val="center"/>
        <w:rPr>
          <w:b/>
          <w:sz w:val="24"/>
          <w:szCs w:val="24"/>
        </w:rPr>
      </w:pPr>
      <w:r w:rsidRPr="005E0BB0">
        <w:rPr>
          <w:b/>
          <w:sz w:val="24"/>
          <w:szCs w:val="24"/>
        </w:rPr>
        <w:t>Massachusetts State Retirement Board</w:t>
      </w:r>
    </w:p>
    <w:p w:rsidR="005E0BB0" w:rsidRDefault="005E0BB0" w:rsidP="005E0BB0">
      <w:pPr>
        <w:pStyle w:val="NoSpacing"/>
        <w:jc w:val="center"/>
        <w:rPr>
          <w:b/>
          <w:sz w:val="24"/>
          <w:szCs w:val="24"/>
        </w:rPr>
      </w:pPr>
    </w:p>
    <w:p w:rsidR="005E0BB0" w:rsidRDefault="005E0BB0" w:rsidP="005E0BB0">
      <w:pPr>
        <w:pStyle w:val="NoSpacing"/>
      </w:pPr>
      <w:r>
        <w:t>Membership in the system is mandatory for nearly all state employees who are regularly employed on</w:t>
      </w:r>
    </w:p>
    <w:p w:rsidR="005E0BB0" w:rsidRDefault="005E0BB0" w:rsidP="005E0BB0">
      <w:pPr>
        <w:pStyle w:val="NoSpacing"/>
      </w:pPr>
      <w:proofErr w:type="gramStart"/>
      <w:r>
        <w:t>a</w:t>
      </w:r>
      <w:proofErr w:type="gramEnd"/>
      <w:r>
        <w:t xml:space="preserve"> part time (minimum of half time) or full time permanent basis. </w:t>
      </w:r>
      <w:r w:rsidR="007C66AD">
        <w:t>If you are regularly employed in the performance of duties for the state you are considered a member in service.  You remain a member in service until you separate from service.  All members in service make mandatory pre-tax contributions through payroll deductions. Members contribute a percent of their regular compensation based upon when they joined a retirement system in Massachusetts.  State law mandates the contribution rate.</w:t>
      </w:r>
    </w:p>
    <w:p w:rsidR="008D5877" w:rsidRDefault="008D5877" w:rsidP="008D5877">
      <w:pPr>
        <w:pStyle w:val="NoSpacing"/>
        <w:jc w:val="center"/>
        <w:rPr>
          <w:b/>
        </w:rPr>
      </w:pPr>
    </w:p>
    <w:p w:rsidR="00B5680A" w:rsidRDefault="00B5680A" w:rsidP="008D5877">
      <w:pPr>
        <w:pStyle w:val="NoSpacing"/>
        <w:jc w:val="center"/>
        <w:rPr>
          <w:b/>
        </w:rPr>
      </w:pPr>
    </w:p>
    <w:p w:rsidR="002E0D7A" w:rsidRDefault="002E0D7A" w:rsidP="008D5877">
      <w:pPr>
        <w:pStyle w:val="NoSpacing"/>
        <w:jc w:val="center"/>
        <w:rPr>
          <w:b/>
        </w:rPr>
      </w:pPr>
    </w:p>
    <w:p w:rsidR="00B5680A" w:rsidRDefault="00B5680A" w:rsidP="008D5877">
      <w:pPr>
        <w:pStyle w:val="NoSpacing"/>
        <w:jc w:val="center"/>
        <w:rPr>
          <w:b/>
        </w:rPr>
      </w:pPr>
      <w:r>
        <w:rPr>
          <w:b/>
        </w:rPr>
        <w:t>SMART PLAN</w:t>
      </w:r>
    </w:p>
    <w:p w:rsidR="00B5680A" w:rsidRDefault="00B5680A" w:rsidP="008D5877">
      <w:pPr>
        <w:pStyle w:val="NoSpacing"/>
        <w:jc w:val="center"/>
        <w:rPr>
          <w:b/>
        </w:rPr>
      </w:pPr>
      <w:r>
        <w:rPr>
          <w:b/>
        </w:rPr>
        <w:t>Massachusetts Deferred Compensation</w:t>
      </w:r>
    </w:p>
    <w:p w:rsidR="00B5680A" w:rsidRDefault="00B5680A" w:rsidP="008D5877">
      <w:pPr>
        <w:pStyle w:val="NoSpacing"/>
        <w:jc w:val="center"/>
        <w:rPr>
          <w:b/>
        </w:rPr>
      </w:pPr>
    </w:p>
    <w:p w:rsidR="00B5680A" w:rsidRPr="00B5680A" w:rsidRDefault="00B5680A" w:rsidP="00B5680A">
      <w:pPr>
        <w:pStyle w:val="NoSpacing"/>
      </w:pPr>
    </w:p>
    <w:p w:rsidR="00B5680A" w:rsidRPr="001E265B" w:rsidRDefault="001E265B" w:rsidP="00B5680A">
      <w:pPr>
        <w:pStyle w:val="NoSpacing"/>
      </w:pPr>
      <w:r w:rsidRPr="001E265B">
        <w:t xml:space="preserve">Deferred Compensation </w:t>
      </w:r>
      <w:r w:rsidR="009A0B79" w:rsidRPr="001E265B">
        <w:t>Plan 457</w:t>
      </w:r>
      <w:r w:rsidRPr="001E265B">
        <w:t>-C (IRS Tax Code) through Smart Plan-Massachusetts Deferred</w:t>
      </w:r>
    </w:p>
    <w:p w:rsidR="001E265B" w:rsidRPr="001E265B" w:rsidRDefault="001E265B" w:rsidP="00B5680A">
      <w:pPr>
        <w:pStyle w:val="NoSpacing"/>
      </w:pPr>
      <w:r w:rsidRPr="001E265B">
        <w:t>Compensation.  This is a retirement saving plan that allows eligible employees to supplement any</w:t>
      </w:r>
    </w:p>
    <w:p w:rsidR="001E265B" w:rsidRPr="001E265B" w:rsidRDefault="001E265B" w:rsidP="00B5680A">
      <w:pPr>
        <w:pStyle w:val="NoSpacing"/>
      </w:pPr>
      <w:r w:rsidRPr="001E265B">
        <w:t xml:space="preserve">Existing retirement and pension benefits by saving and investing pre-tax dollars through a voluntary </w:t>
      </w:r>
    </w:p>
    <w:p w:rsidR="001E265B" w:rsidRPr="001E265B" w:rsidRDefault="001E265B" w:rsidP="00B5680A">
      <w:pPr>
        <w:pStyle w:val="NoSpacing"/>
      </w:pPr>
      <w:r w:rsidRPr="001E265B">
        <w:t>Salary contribution.</w:t>
      </w:r>
    </w:p>
    <w:p w:rsidR="001E265B" w:rsidRPr="001E265B" w:rsidRDefault="001E265B" w:rsidP="00B5680A">
      <w:pPr>
        <w:pStyle w:val="NoSpacing"/>
      </w:pPr>
    </w:p>
    <w:p w:rsidR="001E265B" w:rsidRPr="001E265B" w:rsidRDefault="001E265B" w:rsidP="00B5680A">
      <w:pPr>
        <w:pStyle w:val="NoSpacing"/>
      </w:pPr>
      <w:r w:rsidRPr="001E265B">
        <w:t>Contact Person:</w:t>
      </w:r>
    </w:p>
    <w:p w:rsidR="001E265B" w:rsidRPr="001E265B" w:rsidRDefault="001E265B" w:rsidP="00B5680A">
      <w:pPr>
        <w:pStyle w:val="NoSpacing"/>
      </w:pPr>
      <w:r w:rsidRPr="001E265B">
        <w:t>Michael Richardson, Retirement Plan Counselor</w:t>
      </w:r>
    </w:p>
    <w:p w:rsidR="001E265B" w:rsidRPr="001E265B" w:rsidRDefault="001E265B" w:rsidP="00B5680A">
      <w:pPr>
        <w:pStyle w:val="NoSpacing"/>
      </w:pPr>
      <w:r w:rsidRPr="001E265B">
        <w:t>255 Bear Hill Road</w:t>
      </w:r>
    </w:p>
    <w:p w:rsidR="001E265B" w:rsidRPr="001E265B" w:rsidRDefault="001E265B" w:rsidP="00B5680A">
      <w:pPr>
        <w:pStyle w:val="NoSpacing"/>
      </w:pPr>
      <w:r w:rsidRPr="001E265B">
        <w:t>Waltham, MA 02451</w:t>
      </w:r>
    </w:p>
    <w:p w:rsidR="001E265B" w:rsidRPr="001E265B" w:rsidRDefault="001E265B" w:rsidP="00B5680A">
      <w:pPr>
        <w:pStyle w:val="NoSpacing"/>
      </w:pPr>
      <w:r w:rsidRPr="001E265B">
        <w:t>Direct line: 781-879-7595</w:t>
      </w:r>
    </w:p>
    <w:p w:rsidR="001E265B" w:rsidRPr="001E265B" w:rsidRDefault="001E265B" w:rsidP="00B5680A">
      <w:pPr>
        <w:pStyle w:val="NoSpacing"/>
      </w:pPr>
      <w:r w:rsidRPr="001E265B">
        <w:t>Customer service: 877-457-1900</w:t>
      </w:r>
    </w:p>
    <w:p w:rsidR="001E265B" w:rsidRPr="001E265B" w:rsidRDefault="001E265B" w:rsidP="00B5680A">
      <w:pPr>
        <w:pStyle w:val="NoSpacing"/>
      </w:pPr>
      <w:r w:rsidRPr="001E265B">
        <w:t>Fax: 781-890-2919</w:t>
      </w:r>
    </w:p>
    <w:p w:rsidR="001E265B" w:rsidRPr="001E265B" w:rsidRDefault="003335A9" w:rsidP="00B5680A">
      <w:pPr>
        <w:pStyle w:val="NoSpacing"/>
      </w:pPr>
      <w:hyperlink r:id="rId7" w:history="1">
        <w:r w:rsidR="001E265B" w:rsidRPr="001E265B">
          <w:rPr>
            <w:rStyle w:val="Hyperlink"/>
          </w:rPr>
          <w:t>www.mass-smart.com</w:t>
        </w:r>
      </w:hyperlink>
    </w:p>
    <w:p w:rsidR="001E265B" w:rsidRDefault="003335A9" w:rsidP="00B5680A">
      <w:pPr>
        <w:pStyle w:val="NoSpacing"/>
        <w:rPr>
          <w:rStyle w:val="Hyperlink"/>
        </w:rPr>
      </w:pPr>
      <w:hyperlink r:id="rId8" w:history="1">
        <w:r w:rsidR="001E265B" w:rsidRPr="001E265B">
          <w:rPr>
            <w:rStyle w:val="Hyperlink"/>
          </w:rPr>
          <w:t>michael.richardson@empower-retirement.com</w:t>
        </w:r>
      </w:hyperlink>
    </w:p>
    <w:p w:rsidR="002E0D7A" w:rsidRDefault="002E0D7A" w:rsidP="00B5680A">
      <w:pPr>
        <w:pStyle w:val="NoSpacing"/>
        <w:rPr>
          <w:rStyle w:val="Hyperlink"/>
        </w:rPr>
      </w:pPr>
    </w:p>
    <w:p w:rsidR="002E0D7A" w:rsidRDefault="002E0D7A" w:rsidP="00B5680A">
      <w:pPr>
        <w:pStyle w:val="NoSpacing"/>
        <w:rPr>
          <w:rStyle w:val="Hyperlink"/>
        </w:rPr>
      </w:pPr>
    </w:p>
    <w:p w:rsidR="002E0D7A" w:rsidRDefault="002E0D7A" w:rsidP="00B5680A">
      <w:pPr>
        <w:pStyle w:val="NoSpacing"/>
        <w:rPr>
          <w:rStyle w:val="Hyperlink"/>
        </w:rPr>
      </w:pPr>
    </w:p>
    <w:p w:rsidR="002E0D7A" w:rsidRDefault="002E0D7A" w:rsidP="00B5680A">
      <w:pPr>
        <w:pStyle w:val="NoSpacing"/>
        <w:rPr>
          <w:rStyle w:val="Hyperlink"/>
        </w:rPr>
      </w:pPr>
    </w:p>
    <w:p w:rsidR="002E0D7A" w:rsidRDefault="002E0D7A" w:rsidP="00B5680A">
      <w:pPr>
        <w:pStyle w:val="NoSpacing"/>
      </w:pPr>
    </w:p>
    <w:p w:rsidR="001E265B" w:rsidRDefault="001E265B" w:rsidP="00B5680A">
      <w:pPr>
        <w:pStyle w:val="NoSpacing"/>
      </w:pPr>
    </w:p>
    <w:p w:rsidR="001E265B" w:rsidRDefault="001E265B" w:rsidP="001E265B">
      <w:pPr>
        <w:pStyle w:val="NoSpacing"/>
        <w:jc w:val="center"/>
        <w:rPr>
          <w:b/>
        </w:rPr>
      </w:pPr>
      <w:r w:rsidRPr="001E265B">
        <w:rPr>
          <w:b/>
        </w:rPr>
        <w:t>Worker’s Compensation</w:t>
      </w:r>
    </w:p>
    <w:p w:rsidR="001E265B" w:rsidRDefault="001E265B" w:rsidP="001E265B">
      <w:pPr>
        <w:pStyle w:val="NoSpacing"/>
        <w:jc w:val="center"/>
        <w:rPr>
          <w:b/>
        </w:rPr>
      </w:pPr>
    </w:p>
    <w:p w:rsidR="001E265B" w:rsidRPr="005958BF" w:rsidRDefault="001E265B" w:rsidP="001E265B">
      <w:pPr>
        <w:pStyle w:val="NoSpacing"/>
      </w:pPr>
      <w:r w:rsidRPr="005958BF">
        <w:t>Contact Person:</w:t>
      </w:r>
    </w:p>
    <w:p w:rsidR="001E265B" w:rsidRPr="005958BF" w:rsidRDefault="001E265B" w:rsidP="001E265B">
      <w:pPr>
        <w:pStyle w:val="NoSpacing"/>
      </w:pPr>
      <w:r w:rsidRPr="005958BF">
        <w:t>Michael Ratajczak, PCSD Agent</w:t>
      </w:r>
    </w:p>
    <w:p w:rsidR="005958BF" w:rsidRPr="005958BF" w:rsidRDefault="005958BF" w:rsidP="001E265B">
      <w:pPr>
        <w:pStyle w:val="NoSpacing"/>
      </w:pPr>
      <w:r w:rsidRPr="005958BF">
        <w:t xml:space="preserve">HRD, </w:t>
      </w:r>
      <w:r w:rsidR="009A0B79" w:rsidRPr="005958BF">
        <w:t>Workers’ Comp</w:t>
      </w:r>
      <w:r w:rsidRPr="005958BF">
        <w:t xml:space="preserve"> Unit</w:t>
      </w:r>
    </w:p>
    <w:p w:rsidR="005958BF" w:rsidRPr="005958BF" w:rsidRDefault="005958BF" w:rsidP="001E265B">
      <w:pPr>
        <w:pStyle w:val="NoSpacing"/>
      </w:pPr>
      <w:r w:rsidRPr="005958BF">
        <w:t>1 Ashburton Place, 3</w:t>
      </w:r>
      <w:r w:rsidRPr="005958BF">
        <w:rPr>
          <w:vertAlign w:val="superscript"/>
        </w:rPr>
        <w:t>rd</w:t>
      </w:r>
      <w:r w:rsidRPr="005958BF">
        <w:t xml:space="preserve"> Floor</w:t>
      </w:r>
    </w:p>
    <w:p w:rsidR="005958BF" w:rsidRPr="005958BF" w:rsidRDefault="005958BF" w:rsidP="001E265B">
      <w:pPr>
        <w:pStyle w:val="NoSpacing"/>
      </w:pPr>
      <w:r w:rsidRPr="005958BF">
        <w:t>Boston, MA 02108</w:t>
      </w:r>
    </w:p>
    <w:p w:rsidR="005958BF" w:rsidRPr="005958BF" w:rsidRDefault="005958BF" w:rsidP="001E265B">
      <w:pPr>
        <w:pStyle w:val="NoSpacing"/>
      </w:pPr>
      <w:r w:rsidRPr="005958BF">
        <w:t>Office: 617-878-9804</w:t>
      </w:r>
    </w:p>
    <w:p w:rsidR="005958BF" w:rsidRDefault="005958BF" w:rsidP="001E265B">
      <w:pPr>
        <w:pStyle w:val="NoSpacing"/>
      </w:pPr>
      <w:r w:rsidRPr="005958BF">
        <w:t>Fax: 617-727-8331</w:t>
      </w:r>
    </w:p>
    <w:p w:rsidR="005958BF" w:rsidRDefault="003335A9" w:rsidP="001E265B">
      <w:pPr>
        <w:pStyle w:val="NoSpacing"/>
      </w:pPr>
      <w:hyperlink r:id="rId9" w:history="1">
        <w:r w:rsidR="005958BF" w:rsidRPr="00550028">
          <w:rPr>
            <w:rStyle w:val="Hyperlink"/>
          </w:rPr>
          <w:t>michael.j.ratajczak@state.ma.us</w:t>
        </w:r>
      </w:hyperlink>
    </w:p>
    <w:p w:rsidR="005958BF" w:rsidRDefault="005958BF" w:rsidP="001E265B">
      <w:pPr>
        <w:pStyle w:val="NoSpacing"/>
      </w:pPr>
    </w:p>
    <w:p w:rsidR="005958BF" w:rsidRDefault="005958BF" w:rsidP="005958BF">
      <w:pPr>
        <w:pStyle w:val="NoSpacing"/>
        <w:jc w:val="center"/>
        <w:rPr>
          <w:b/>
        </w:rPr>
      </w:pPr>
      <w:r w:rsidRPr="005958BF">
        <w:rPr>
          <w:b/>
        </w:rPr>
        <w:t>Employee Assistance Program</w:t>
      </w:r>
    </w:p>
    <w:p w:rsidR="005958BF" w:rsidRDefault="005958BF" w:rsidP="005958BF">
      <w:pPr>
        <w:pStyle w:val="NoSpacing"/>
        <w:jc w:val="center"/>
        <w:rPr>
          <w:b/>
        </w:rPr>
      </w:pPr>
      <w:r>
        <w:rPr>
          <w:b/>
        </w:rPr>
        <w:t>RESPOND</w:t>
      </w:r>
    </w:p>
    <w:p w:rsidR="005958BF" w:rsidRDefault="005958BF" w:rsidP="005958BF">
      <w:pPr>
        <w:pStyle w:val="NoSpacing"/>
        <w:jc w:val="center"/>
        <w:rPr>
          <w:b/>
        </w:rPr>
      </w:pPr>
    </w:p>
    <w:p w:rsidR="005958BF" w:rsidRDefault="005958BF" w:rsidP="005958BF">
      <w:pPr>
        <w:pStyle w:val="NoSpacing"/>
      </w:pPr>
      <w:r>
        <w:t>Law Enforcement and Family Member Employee Assistance Program:</w:t>
      </w:r>
    </w:p>
    <w:p w:rsidR="005958BF" w:rsidRDefault="005958BF" w:rsidP="005958BF">
      <w:pPr>
        <w:pStyle w:val="NoSpacing"/>
      </w:pPr>
      <w:r>
        <w:t>Treatment Programs, corrections Expertise</w:t>
      </w:r>
    </w:p>
    <w:p w:rsidR="005958BF" w:rsidRDefault="005958BF" w:rsidP="005958BF">
      <w:pPr>
        <w:pStyle w:val="NoSpacing"/>
      </w:pPr>
      <w:r>
        <w:t>Referral Network, Stress Management</w:t>
      </w:r>
    </w:p>
    <w:p w:rsidR="005958BF" w:rsidRDefault="005958BF" w:rsidP="005958BF">
      <w:pPr>
        <w:pStyle w:val="NoSpacing"/>
      </w:pPr>
      <w:r>
        <w:t>Alcohol/Substance Issues</w:t>
      </w:r>
    </w:p>
    <w:p w:rsidR="005958BF" w:rsidRDefault="005958BF" w:rsidP="005958BF">
      <w:pPr>
        <w:pStyle w:val="NoSpacing"/>
      </w:pPr>
      <w:r>
        <w:t>Work/Family issues</w:t>
      </w:r>
    </w:p>
    <w:p w:rsidR="005958BF" w:rsidRDefault="005958BF" w:rsidP="005958BF">
      <w:pPr>
        <w:pStyle w:val="NoSpacing"/>
      </w:pPr>
      <w:r>
        <w:t>Emergency Situations for Immediate Response</w:t>
      </w:r>
    </w:p>
    <w:p w:rsidR="005958BF" w:rsidRDefault="005958BF" w:rsidP="005958BF">
      <w:pPr>
        <w:pStyle w:val="NoSpacing"/>
      </w:pPr>
      <w:r>
        <w:t xml:space="preserve">24 Hour, 7 Day </w:t>
      </w:r>
      <w:r w:rsidR="009A0B79">
        <w:t>Accessibility</w:t>
      </w:r>
    </w:p>
    <w:p w:rsidR="005958BF" w:rsidRDefault="005958BF" w:rsidP="005958BF">
      <w:pPr>
        <w:pStyle w:val="NoSpacing"/>
      </w:pPr>
      <w:r>
        <w:t>Crisis Interventions</w:t>
      </w:r>
    </w:p>
    <w:p w:rsidR="005958BF" w:rsidRDefault="005958BF" w:rsidP="005958BF">
      <w:pPr>
        <w:pStyle w:val="NoSpacing"/>
      </w:pPr>
      <w:r>
        <w:t>Contact Person:</w:t>
      </w:r>
    </w:p>
    <w:p w:rsidR="005958BF" w:rsidRDefault="005958BF" w:rsidP="005958BF">
      <w:pPr>
        <w:pStyle w:val="NoSpacing"/>
      </w:pPr>
      <w:r>
        <w:t>Gary Ouillette, Director</w:t>
      </w:r>
    </w:p>
    <w:p w:rsidR="005958BF" w:rsidRDefault="005958BF" w:rsidP="005958BF">
      <w:pPr>
        <w:pStyle w:val="NoSpacing"/>
      </w:pPr>
      <w:r>
        <w:t>Direct line: 508-274-5184</w:t>
      </w:r>
    </w:p>
    <w:p w:rsidR="005958BF" w:rsidRDefault="005958BF" w:rsidP="005958BF">
      <w:pPr>
        <w:pStyle w:val="NoSpacing"/>
      </w:pPr>
      <w:r>
        <w:t xml:space="preserve">                     508-844-1800</w:t>
      </w:r>
    </w:p>
    <w:p w:rsidR="009A0B79" w:rsidRDefault="009A0B79" w:rsidP="005958BF">
      <w:pPr>
        <w:pStyle w:val="NoSpacing"/>
      </w:pPr>
    </w:p>
    <w:p w:rsidR="009A0B79" w:rsidRDefault="009A0B79" w:rsidP="009A0B79">
      <w:pPr>
        <w:pStyle w:val="NoSpacing"/>
        <w:jc w:val="center"/>
        <w:rPr>
          <w:b/>
        </w:rPr>
      </w:pPr>
      <w:r w:rsidRPr="009A0B79">
        <w:rPr>
          <w:b/>
        </w:rPr>
        <w:t>COBRA</w:t>
      </w:r>
    </w:p>
    <w:p w:rsidR="009A0B79" w:rsidRDefault="009A0B79" w:rsidP="009A0B79">
      <w:pPr>
        <w:pStyle w:val="NoSpacing"/>
        <w:jc w:val="center"/>
        <w:rPr>
          <w:b/>
        </w:rPr>
      </w:pPr>
      <w:r>
        <w:rPr>
          <w:b/>
        </w:rPr>
        <w:t>(Consolidate Omnibus Budget Reconciliation Act of 1986)</w:t>
      </w:r>
    </w:p>
    <w:p w:rsidR="009A0B79" w:rsidRDefault="009A0B79" w:rsidP="009A0B79">
      <w:pPr>
        <w:pStyle w:val="NoSpacing"/>
        <w:jc w:val="center"/>
        <w:rPr>
          <w:b/>
        </w:rPr>
      </w:pPr>
    </w:p>
    <w:p w:rsidR="00A56424" w:rsidRDefault="00A56424" w:rsidP="009A0B79">
      <w:pPr>
        <w:pStyle w:val="NoSpacing"/>
      </w:pPr>
      <w:r>
        <w:t>Cobra Insurance enables qualified, recently separated employees to continue their group coverage by assuming responsibility for the total premium (plus an administrative fee) for their coverage.</w:t>
      </w:r>
    </w:p>
    <w:p w:rsidR="00A56424" w:rsidRDefault="00A56424" w:rsidP="009A0B79">
      <w:pPr>
        <w:pStyle w:val="NoSpacing"/>
      </w:pPr>
    </w:p>
    <w:p w:rsidR="009A0B79" w:rsidRDefault="00A56424" w:rsidP="009A0B79">
      <w:pPr>
        <w:pStyle w:val="NoSpacing"/>
      </w:pPr>
      <w:r>
        <w:t xml:space="preserve">Cobra </w:t>
      </w:r>
      <w:r w:rsidR="009A0B79">
        <w:t xml:space="preserve">provides short term (up to 18 months) health insurance </w:t>
      </w:r>
      <w:r>
        <w:t xml:space="preserve">coverage </w:t>
      </w:r>
      <w:r w:rsidR="009A0B79">
        <w:t>for former employees, retirees, spouses and dependent children, for temporary continuation of health insurance benefits following termination of employment, separation from employment, and between job</w:t>
      </w:r>
      <w:r>
        <w:t xml:space="preserve"> </w:t>
      </w:r>
      <w:proofErr w:type="gramStart"/>
      <w:r w:rsidR="009A0B79">
        <w:t>status</w:t>
      </w:r>
      <w:proofErr w:type="gramEnd"/>
      <w:r w:rsidR="009A0B79">
        <w:t>.</w:t>
      </w:r>
      <w:r>
        <w:t xml:space="preserve">  </w:t>
      </w:r>
    </w:p>
    <w:p w:rsidR="009A0B79" w:rsidRDefault="009A0B79" w:rsidP="009A0B79">
      <w:pPr>
        <w:pStyle w:val="NoSpacing"/>
      </w:pPr>
      <w:r>
        <w:t>Post termination employee</w:t>
      </w:r>
      <w:r w:rsidR="00A56424">
        <w:t>s have a sixty (60) day option to enroll in a</w:t>
      </w:r>
      <w:r>
        <w:t xml:space="preserve"> COBRA health insurance plan.</w:t>
      </w:r>
    </w:p>
    <w:p w:rsidR="005E0BB0" w:rsidRDefault="005E0BB0" w:rsidP="009A0B79">
      <w:pPr>
        <w:pStyle w:val="NoSpacing"/>
      </w:pPr>
    </w:p>
    <w:p w:rsidR="009A0B79" w:rsidRPr="009A0B79" w:rsidRDefault="009A0B79" w:rsidP="009A0B79">
      <w:pPr>
        <w:pStyle w:val="NoSpacing"/>
      </w:pPr>
      <w:r>
        <w:t>Ex-spouses are eligible for up to 36 months following remarriage of form</w:t>
      </w:r>
      <w:r w:rsidR="00A56424">
        <w:t>er</w:t>
      </w:r>
      <w:r>
        <w:t xml:space="preserve"> husband/wife.</w:t>
      </w:r>
    </w:p>
    <w:p w:rsidR="009A0B79" w:rsidRDefault="009A0B79" w:rsidP="009A0B79">
      <w:pPr>
        <w:pStyle w:val="NoSpacing"/>
        <w:jc w:val="center"/>
        <w:rPr>
          <w:b/>
        </w:rPr>
      </w:pPr>
    </w:p>
    <w:p w:rsidR="009A0B79" w:rsidRDefault="009A0B79" w:rsidP="009A0B79">
      <w:pPr>
        <w:pStyle w:val="NoSpacing"/>
        <w:jc w:val="center"/>
      </w:pPr>
    </w:p>
    <w:p w:rsidR="009A0B79" w:rsidRPr="009A0B79" w:rsidRDefault="009A0B79" w:rsidP="009A0B79">
      <w:pPr>
        <w:pStyle w:val="NoSpacing"/>
      </w:pPr>
    </w:p>
    <w:p w:rsidR="009A0B79" w:rsidRDefault="009A0B79" w:rsidP="009A0B79">
      <w:pPr>
        <w:pStyle w:val="NoSpacing"/>
        <w:jc w:val="center"/>
      </w:pPr>
    </w:p>
    <w:p w:rsidR="009A0B79" w:rsidRDefault="009A0B79" w:rsidP="009A0B79">
      <w:pPr>
        <w:pStyle w:val="NoSpacing"/>
      </w:pPr>
    </w:p>
    <w:p w:rsidR="005958BF" w:rsidRPr="005958BF" w:rsidRDefault="005958BF" w:rsidP="005958BF">
      <w:pPr>
        <w:pStyle w:val="NoSpacing"/>
      </w:pPr>
    </w:p>
    <w:p w:rsidR="005958BF" w:rsidRPr="005958BF" w:rsidRDefault="005958BF" w:rsidP="001E265B">
      <w:pPr>
        <w:pStyle w:val="NoSpacing"/>
      </w:pPr>
    </w:p>
    <w:p w:rsidR="00B5680A" w:rsidRDefault="00B5680A" w:rsidP="008D5877">
      <w:pPr>
        <w:pStyle w:val="NoSpacing"/>
        <w:jc w:val="center"/>
        <w:rPr>
          <w:b/>
        </w:rPr>
      </w:pPr>
    </w:p>
    <w:p w:rsidR="00B5680A" w:rsidRDefault="00B5680A" w:rsidP="008D5877">
      <w:pPr>
        <w:pStyle w:val="NoSpacing"/>
        <w:jc w:val="center"/>
        <w:rPr>
          <w:b/>
        </w:rPr>
      </w:pPr>
    </w:p>
    <w:p w:rsidR="008D5877" w:rsidRPr="008D5877" w:rsidRDefault="008D5877" w:rsidP="008D5877">
      <w:pPr>
        <w:pStyle w:val="NoSpacing"/>
      </w:pPr>
    </w:p>
    <w:p w:rsidR="00762221" w:rsidRPr="008D5877" w:rsidRDefault="00762221" w:rsidP="008D5877">
      <w:pPr>
        <w:pStyle w:val="NoSpacing"/>
        <w:jc w:val="center"/>
        <w:rPr>
          <w:b/>
        </w:rPr>
      </w:pPr>
    </w:p>
    <w:p w:rsidR="00762221" w:rsidRDefault="00762221" w:rsidP="0063015D">
      <w:pPr>
        <w:pStyle w:val="NoSpacing"/>
      </w:pPr>
    </w:p>
    <w:sectPr w:rsidR="00762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15D"/>
    <w:rsid w:val="00026685"/>
    <w:rsid w:val="001E265B"/>
    <w:rsid w:val="002E06E2"/>
    <w:rsid w:val="002E0D7A"/>
    <w:rsid w:val="003335A9"/>
    <w:rsid w:val="00431C1A"/>
    <w:rsid w:val="005958BF"/>
    <w:rsid w:val="005E0BB0"/>
    <w:rsid w:val="0063015D"/>
    <w:rsid w:val="00762221"/>
    <w:rsid w:val="007A615A"/>
    <w:rsid w:val="007C66AD"/>
    <w:rsid w:val="008D5877"/>
    <w:rsid w:val="009A0B79"/>
    <w:rsid w:val="00A56424"/>
    <w:rsid w:val="00B5680A"/>
    <w:rsid w:val="00F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015D"/>
    <w:pPr>
      <w:spacing w:after="0" w:line="240" w:lineRule="auto"/>
    </w:pPr>
  </w:style>
  <w:style w:type="character" w:styleId="Hyperlink">
    <w:name w:val="Hyperlink"/>
    <w:basedOn w:val="DefaultParagraphFont"/>
    <w:uiPriority w:val="99"/>
    <w:unhideWhenUsed/>
    <w:rsid w:val="00B5680A"/>
    <w:rPr>
      <w:color w:val="0000FF" w:themeColor="hyperlink"/>
      <w:u w:val="single"/>
    </w:rPr>
  </w:style>
  <w:style w:type="paragraph" w:styleId="BalloonText">
    <w:name w:val="Balloon Text"/>
    <w:basedOn w:val="Normal"/>
    <w:link w:val="BalloonTextChar"/>
    <w:uiPriority w:val="99"/>
    <w:semiHidden/>
    <w:unhideWhenUsed/>
    <w:rsid w:val="009A0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B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015D"/>
    <w:pPr>
      <w:spacing w:after="0" w:line="240" w:lineRule="auto"/>
    </w:pPr>
  </w:style>
  <w:style w:type="character" w:styleId="Hyperlink">
    <w:name w:val="Hyperlink"/>
    <w:basedOn w:val="DefaultParagraphFont"/>
    <w:uiPriority w:val="99"/>
    <w:unhideWhenUsed/>
    <w:rsid w:val="00B5680A"/>
    <w:rPr>
      <w:color w:val="0000FF" w:themeColor="hyperlink"/>
      <w:u w:val="single"/>
    </w:rPr>
  </w:style>
  <w:style w:type="paragraph" w:styleId="BalloonText">
    <w:name w:val="Balloon Text"/>
    <w:basedOn w:val="Normal"/>
    <w:link w:val="BalloonTextChar"/>
    <w:uiPriority w:val="99"/>
    <w:semiHidden/>
    <w:unhideWhenUsed/>
    <w:rsid w:val="009A0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B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richardson@empower-retirement.com" TargetMode="External"/><Relationship Id="rId3" Type="http://schemas.openxmlformats.org/officeDocument/2006/relationships/settings" Target="settings.xml"/><Relationship Id="rId7" Type="http://schemas.openxmlformats.org/officeDocument/2006/relationships/hyperlink" Target="http://www.mass-smar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cott.curtis@coloniallife.com" TargetMode="External"/><Relationship Id="rId11" Type="http://schemas.openxmlformats.org/officeDocument/2006/relationships/theme" Target="theme/theme1.xml"/><Relationship Id="rId5" Type="http://schemas.openxmlformats.org/officeDocument/2006/relationships/hyperlink" Target="mailto:andrea_knox@us.aflac.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chael.j.ratajczak@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Ruxton, Diane</dc:creator>
  <cp:lastModifiedBy>Ruxton, Diane</cp:lastModifiedBy>
  <cp:revision>9</cp:revision>
  <cp:lastPrinted>2017-12-06T16:26:00Z</cp:lastPrinted>
  <dcterms:created xsi:type="dcterms:W3CDTF">2017-12-06T13:09:00Z</dcterms:created>
  <dcterms:modified xsi:type="dcterms:W3CDTF">2017-12-08T15:44:00Z</dcterms:modified>
</cp:coreProperties>
</file>